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97" w:rsidRDefault="00FE5B2A">
      <w:hyperlink r:id="rId4" w:history="1">
        <w:r w:rsidRPr="00DE6AA6">
          <w:rPr>
            <w:rStyle w:val="a3"/>
          </w:rPr>
          <w:t>https://legalacts.ru/doc/pismo-minprosveshchenija-rossii-ot-12102022-n-03-1516-ob-oplate/</w:t>
        </w:r>
      </w:hyperlink>
    </w:p>
    <w:p w:rsidR="00FE5B2A" w:rsidRDefault="00FE5B2A">
      <w:bookmarkStart w:id="0" w:name="_GoBack"/>
      <w:bookmarkEnd w:id="0"/>
    </w:p>
    <w:sectPr w:rsidR="00FE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4"/>
    <w:rsid w:val="000B2094"/>
    <w:rsid w:val="00495582"/>
    <w:rsid w:val="00811A97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AF9C"/>
  <w15:chartTrackingRefBased/>
  <w15:docId w15:val="{616F8DA6-26BD-4F32-B2B5-1126F15B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pismo-minprosveshchenija-rossii-ot-12102022-n-03-1516-ob-opl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2023-06-19T09:25:00Z</dcterms:created>
  <dcterms:modified xsi:type="dcterms:W3CDTF">2023-06-20T06:40:00Z</dcterms:modified>
</cp:coreProperties>
</file>